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79" w:rsidRDefault="00F572AF" w:rsidP="00586399">
      <w:pPr>
        <w:spacing w:after="120"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Term Sheet </w:t>
      </w:r>
      <w:r w:rsidR="003C0578">
        <w:rPr>
          <w:b/>
          <w:sz w:val="32"/>
        </w:rPr>
        <w:t>Novemberhilfe</w:t>
      </w:r>
      <w:r w:rsidR="008B5AAE">
        <w:rPr>
          <w:b/>
          <w:sz w:val="32"/>
        </w:rPr>
        <w:tab/>
      </w:r>
    </w:p>
    <w:p w:rsidR="00586399" w:rsidRPr="00EE4B7C" w:rsidRDefault="00D6322D" w:rsidP="00586399">
      <w:pPr>
        <w:spacing w:after="240" w:line="276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BMF/</w:t>
      </w:r>
      <w:proofErr w:type="spellStart"/>
      <w:r>
        <w:rPr>
          <w:b/>
          <w:i/>
          <w:sz w:val="22"/>
        </w:rPr>
        <w:t>BMWi</w:t>
      </w:r>
      <w:proofErr w:type="spellEnd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654"/>
      </w:tblGrid>
      <w:tr w:rsidR="00805D79" w:rsidRPr="00F35143" w:rsidTr="00354978">
        <w:tc>
          <w:tcPr>
            <w:tcW w:w="2439" w:type="dxa"/>
            <w:shd w:val="clear" w:color="auto" w:fill="D9D9D9" w:themeFill="background1" w:themeFillShade="D9"/>
          </w:tcPr>
          <w:p w:rsidR="00805D79" w:rsidRPr="00F35143" w:rsidRDefault="00805D79" w:rsidP="00E03E0A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>Bundesprogramm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05D79" w:rsidRPr="00F35143" w:rsidRDefault="008B5AAE" w:rsidP="00C71D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Außerordentliche Wirtschaftshilfe des Bundes für Unternehmen</w:t>
            </w:r>
            <w:r w:rsidR="00720C35">
              <w:t>, Betriebe, Selbständige, Vereine und Einrichtungen</w:t>
            </w:r>
            <w:r w:rsidRPr="00720C35">
              <w:rPr>
                <w:szCs w:val="24"/>
              </w:rPr>
              <w:t>, deren Betrieb aufgrund der zur Bewältigung der P</w:t>
            </w:r>
            <w:r>
              <w:rPr>
                <w:szCs w:val="24"/>
              </w:rPr>
              <w:t>andemie erforderlichen Maßnahmen</w:t>
            </w:r>
            <w:r w:rsidR="00EE4B7C">
              <w:rPr>
                <w:szCs w:val="24"/>
              </w:rPr>
              <w:t xml:space="preserve"> temporär geschlossen wird</w:t>
            </w:r>
            <w:r w:rsidR="00515AEC">
              <w:rPr>
                <w:szCs w:val="24"/>
              </w:rPr>
              <w:t>, in Form einer einmaligen Kostenpauschale</w:t>
            </w:r>
            <w:r>
              <w:rPr>
                <w:szCs w:val="24"/>
              </w:rPr>
              <w:t>.</w:t>
            </w:r>
          </w:p>
        </w:tc>
      </w:tr>
      <w:tr w:rsidR="00805D79" w:rsidRPr="00F35143" w:rsidTr="00354978">
        <w:tc>
          <w:tcPr>
            <w:tcW w:w="2439" w:type="dxa"/>
            <w:shd w:val="clear" w:color="auto" w:fill="CDE1EB"/>
          </w:tcPr>
          <w:p w:rsidR="00805D79" w:rsidRPr="00F35143" w:rsidRDefault="00805D79" w:rsidP="00412542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 xml:space="preserve">Antragsberechtigte </w:t>
            </w:r>
          </w:p>
        </w:tc>
        <w:tc>
          <w:tcPr>
            <w:tcW w:w="7654" w:type="dxa"/>
          </w:tcPr>
          <w:p w:rsidR="003C2E5E" w:rsidRDefault="003C0578" w:rsidP="00D773A7">
            <w:pPr>
              <w:spacing w:before="120" w:line="276" w:lineRule="auto"/>
              <w:ind w:left="346" w:hanging="346"/>
            </w:pPr>
            <w:r>
              <w:t>-</w:t>
            </w:r>
            <w:r w:rsidR="008B5AAE">
              <w:rPr>
                <w:b/>
                <w:sz w:val="32"/>
              </w:rPr>
              <w:tab/>
            </w:r>
            <w:r w:rsidRPr="000055FF">
              <w:rPr>
                <w:b/>
              </w:rPr>
              <w:t>Alle Unternehmen</w:t>
            </w:r>
            <w:r w:rsidR="00847E2B" w:rsidRPr="000055FF">
              <w:rPr>
                <w:b/>
              </w:rPr>
              <w:t xml:space="preserve"> (auch öffentliche)</w:t>
            </w:r>
            <w:r w:rsidR="00720C35" w:rsidRPr="000055FF">
              <w:rPr>
                <w:b/>
              </w:rPr>
              <w:t>, Betriebe, Selbständige, Vereine und Einrichtungen</w:t>
            </w:r>
            <w:r w:rsidRPr="000055FF">
              <w:rPr>
                <w:b/>
              </w:rPr>
              <w:t xml:space="preserve">, die auf Grundlage </w:t>
            </w:r>
            <w:r w:rsidR="00D773A7" w:rsidRPr="000055FF">
              <w:rPr>
                <w:b/>
              </w:rPr>
              <w:t xml:space="preserve">der </w:t>
            </w:r>
            <w:r w:rsidRPr="000055FF">
              <w:rPr>
                <w:b/>
              </w:rPr>
              <w:t>erlassenen Schließungsverordnungen der Länder</w:t>
            </w:r>
            <w:r w:rsidR="00D773A7" w:rsidRPr="000055FF">
              <w:rPr>
                <w:b/>
              </w:rPr>
              <w:t xml:space="preserve"> in Folge des Beschlusses</w:t>
            </w:r>
            <w:r w:rsidR="00D773A7">
              <w:t xml:space="preserve"> der Bundeskanzlerin und der Regierungschefinnen und Regierungschefs der Länder vom 28. Oktober 2020</w:t>
            </w:r>
            <w:r>
              <w:t xml:space="preserve"> </w:t>
            </w:r>
            <w:r w:rsidRPr="00AA3896">
              <w:rPr>
                <w:b/>
              </w:rPr>
              <w:t>den Geschäftsbetrieb einstellen mussten</w:t>
            </w:r>
            <w:r>
              <w:t xml:space="preserve"> (direkt betroffene Unternehmen)</w:t>
            </w:r>
            <w:r w:rsidR="0048332A">
              <w:t>.</w:t>
            </w:r>
          </w:p>
          <w:p w:rsidR="000055FF" w:rsidRDefault="003C0578" w:rsidP="000055FF">
            <w:pPr>
              <w:spacing w:before="120" w:line="276" w:lineRule="auto"/>
              <w:ind w:left="346" w:hanging="346"/>
            </w:pPr>
            <w:r>
              <w:t>-</w:t>
            </w:r>
            <w:r w:rsidR="008B5AAE">
              <w:rPr>
                <w:b/>
                <w:sz w:val="32"/>
              </w:rPr>
              <w:tab/>
            </w:r>
            <w:r w:rsidRPr="00AA3896">
              <w:rPr>
                <w:b/>
              </w:rPr>
              <w:t xml:space="preserve">Alle Unternehmen, die </w:t>
            </w:r>
            <w:r w:rsidR="001E2E02">
              <w:rPr>
                <w:b/>
              </w:rPr>
              <w:t xml:space="preserve">nachweislich und regelmäßig </w:t>
            </w:r>
            <w:r w:rsidR="00584482">
              <w:rPr>
                <w:b/>
              </w:rPr>
              <w:t xml:space="preserve">80 Prozent </w:t>
            </w:r>
            <w:r w:rsidR="002E4D10">
              <w:rPr>
                <w:b/>
              </w:rPr>
              <w:t>i</w:t>
            </w:r>
            <w:r w:rsidRPr="00AA3896">
              <w:rPr>
                <w:b/>
              </w:rPr>
              <w:t>hrer Umsätze mit direkt</w:t>
            </w:r>
            <w:r w:rsidR="00FD30D6">
              <w:rPr>
                <w:b/>
              </w:rPr>
              <w:t xml:space="preserve"> von den o.</w:t>
            </w:r>
            <w:r w:rsidR="00D773A7">
              <w:rPr>
                <w:b/>
              </w:rPr>
              <w:t xml:space="preserve"> </w:t>
            </w:r>
            <w:r w:rsidR="00FD30D6">
              <w:rPr>
                <w:b/>
              </w:rPr>
              <w:t>g. Maßnahmen</w:t>
            </w:r>
            <w:r w:rsidRPr="00AA3896">
              <w:rPr>
                <w:b/>
              </w:rPr>
              <w:t xml:space="preserve"> betroffenen </w:t>
            </w:r>
            <w:r w:rsidRPr="000055FF">
              <w:rPr>
                <w:b/>
              </w:rPr>
              <w:t>Unternehmen erzielen</w:t>
            </w:r>
            <w:r w:rsidR="00D37D39" w:rsidRPr="000055FF">
              <w:t xml:space="preserve"> (indirekt betroffene Unternehmen)</w:t>
            </w:r>
            <w:r w:rsidRPr="000055FF">
              <w:t>.</w:t>
            </w:r>
          </w:p>
          <w:p w:rsidR="00896E64" w:rsidRPr="000055FF" w:rsidRDefault="000055FF" w:rsidP="000055FF">
            <w:pPr>
              <w:spacing w:before="120" w:line="276" w:lineRule="auto"/>
              <w:ind w:left="346" w:hanging="346"/>
            </w:pPr>
            <w:r>
              <w:t xml:space="preserve">-    </w:t>
            </w:r>
            <w:r w:rsidR="00896E64" w:rsidRPr="000055FF">
              <w:rPr>
                <w:b/>
              </w:rPr>
              <w:t>Antragsberechtigt sind auch Unternehmen, die regelmäßig 80 Prozent ihrer Umsätze</w:t>
            </w:r>
            <w:r w:rsidR="00896E64" w:rsidRPr="000055FF">
              <w:t xml:space="preserve"> durch Lieferungen und Leistungen im Auftrag direkt von den Maßnahmen betroffener Unternehmen</w:t>
            </w:r>
            <w:r w:rsidR="00896E64" w:rsidRPr="000055FF">
              <w:rPr>
                <w:b/>
              </w:rPr>
              <w:t xml:space="preserve"> über Dritte (zum Beispiel Veranstaltungsagenturen) erzielen</w:t>
            </w:r>
            <w:r w:rsidR="00896E64" w:rsidRPr="000055FF">
              <w:t xml:space="preserve">. Diese </w:t>
            </w:r>
            <w:r w:rsidR="00896E64" w:rsidRPr="000055FF">
              <w:rPr>
                <w:b/>
              </w:rPr>
              <w:t>Unternehmen müssen zweifelsfrei nachweisen, dass sie wegen der Schließungsverordnungen</w:t>
            </w:r>
            <w:r w:rsidR="00896E64" w:rsidRPr="000055FF">
              <w:t xml:space="preserve"> auf der Grundlage der Ziffern 5 und 6 des vorgenannten Beschlusses vom 28. Oktober 2020 einen Umsatzeinbruch </w:t>
            </w:r>
            <w:r w:rsidR="00896E64" w:rsidRPr="000055FF">
              <w:rPr>
                <w:b/>
              </w:rPr>
              <w:t>von mehr als 80 Prozent</w:t>
            </w:r>
            <w:r w:rsidR="00896E64" w:rsidRPr="000055FF">
              <w:t xml:space="preserve"> </w:t>
            </w:r>
            <w:r w:rsidR="00AA3988" w:rsidRPr="000055FF">
              <w:t xml:space="preserve">im November 2020 </w:t>
            </w:r>
            <w:r w:rsidR="00896E64" w:rsidRPr="000055FF">
              <w:t>erleiden.</w:t>
            </w:r>
          </w:p>
          <w:p w:rsidR="008F05A5" w:rsidRDefault="008F05A5" w:rsidP="005E0876">
            <w:pPr>
              <w:spacing w:before="120" w:line="276" w:lineRule="auto"/>
              <w:ind w:left="310" w:hanging="283"/>
              <w:rPr>
                <w:szCs w:val="24"/>
              </w:rPr>
            </w:pPr>
            <w:r w:rsidRPr="000055FF">
              <w:t>-</w:t>
            </w:r>
            <w:r w:rsidRPr="000055FF">
              <w:rPr>
                <w:b/>
                <w:sz w:val="32"/>
              </w:rPr>
              <w:tab/>
            </w:r>
            <w:r w:rsidR="00A01A38" w:rsidRPr="000055FF">
              <w:rPr>
                <w:szCs w:val="24"/>
              </w:rPr>
              <w:t xml:space="preserve">Beherbergungsbetriebe </w:t>
            </w:r>
            <w:r w:rsidR="003D2001" w:rsidRPr="000055FF">
              <w:rPr>
                <w:szCs w:val="24"/>
              </w:rPr>
              <w:t>und Veranstaltungsstätten</w:t>
            </w:r>
            <w:r w:rsidR="003D2001">
              <w:rPr>
                <w:szCs w:val="24"/>
              </w:rPr>
              <w:t xml:space="preserve"> </w:t>
            </w:r>
            <w:r w:rsidR="00EE4B7C">
              <w:rPr>
                <w:szCs w:val="24"/>
              </w:rPr>
              <w:t>werden als direkt betroffene</w:t>
            </w:r>
            <w:r w:rsidR="003D2001">
              <w:rPr>
                <w:szCs w:val="24"/>
              </w:rPr>
              <w:t xml:space="preserve"> </w:t>
            </w:r>
            <w:r w:rsidR="00EE4B7C">
              <w:rPr>
                <w:szCs w:val="24"/>
              </w:rPr>
              <w:t>Unternehmen angesehen.</w:t>
            </w:r>
          </w:p>
          <w:p w:rsidR="00EE4B7C" w:rsidRPr="003C2E5E" w:rsidRDefault="008F05A5" w:rsidP="00D522C0">
            <w:pPr>
              <w:spacing w:before="120" w:line="276" w:lineRule="auto"/>
              <w:ind w:hanging="23"/>
              <w:rPr>
                <w:szCs w:val="24"/>
              </w:rPr>
            </w:pPr>
            <w:r w:rsidRPr="00B7072D">
              <w:t xml:space="preserve">Nähere Bestimmungen </w:t>
            </w:r>
            <w:r>
              <w:t>zu den vorgenannten Punkten</w:t>
            </w:r>
            <w:r w:rsidR="009F79E1">
              <w:t>,</w:t>
            </w:r>
            <w:r>
              <w:t xml:space="preserve"> insbesondere </w:t>
            </w:r>
            <w:r w:rsidRPr="00B7072D">
              <w:t>zur Nachweispflicht</w:t>
            </w:r>
            <w:r w:rsidR="009F79E1">
              <w:t>,</w:t>
            </w:r>
            <w:r w:rsidRPr="00B7072D">
              <w:t xml:space="preserve"> werden in den Vollzugshinweisen geregelt.</w:t>
            </w:r>
            <w:r w:rsidR="0048332A">
              <w:rPr>
                <w:rStyle w:val="Funotenzeichen"/>
              </w:rPr>
              <w:footnoteReference w:id="2"/>
            </w:r>
          </w:p>
        </w:tc>
      </w:tr>
      <w:tr w:rsidR="00F35143" w:rsidRPr="00F35143" w:rsidTr="00354978">
        <w:tc>
          <w:tcPr>
            <w:tcW w:w="2439" w:type="dxa"/>
            <w:shd w:val="clear" w:color="auto" w:fill="CDE1EB"/>
          </w:tcPr>
          <w:p w:rsidR="00F35143" w:rsidRPr="00F35143" w:rsidRDefault="00F35143" w:rsidP="00412542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>Förderfähige Maßnahme</w:t>
            </w:r>
          </w:p>
        </w:tc>
        <w:tc>
          <w:tcPr>
            <w:tcW w:w="7654" w:type="dxa"/>
          </w:tcPr>
          <w:p w:rsidR="003C0578" w:rsidRPr="00AA3896" w:rsidRDefault="003C0578" w:rsidP="00C71D36">
            <w:pPr>
              <w:spacing w:before="120" w:line="276" w:lineRule="auto"/>
              <w:rPr>
                <w:b/>
                <w:szCs w:val="24"/>
              </w:rPr>
            </w:pPr>
            <w:r w:rsidRPr="004B4E3C">
              <w:rPr>
                <w:szCs w:val="24"/>
              </w:rPr>
              <w:t>Zuschüsse</w:t>
            </w:r>
            <w:r w:rsidRPr="00AA3896">
              <w:rPr>
                <w:b/>
                <w:szCs w:val="24"/>
              </w:rPr>
              <w:t xml:space="preserve"> </w:t>
            </w:r>
            <w:r w:rsidR="00FA2DB5">
              <w:rPr>
                <w:b/>
                <w:szCs w:val="24"/>
              </w:rPr>
              <w:t>pro Woche de</w:t>
            </w:r>
            <w:r w:rsidR="00584482">
              <w:rPr>
                <w:b/>
                <w:szCs w:val="24"/>
              </w:rPr>
              <w:t>r</w:t>
            </w:r>
            <w:r w:rsidR="00FA2DB5">
              <w:rPr>
                <w:b/>
                <w:szCs w:val="24"/>
              </w:rPr>
              <w:t xml:space="preserve"> </w:t>
            </w:r>
            <w:r w:rsidR="00584482">
              <w:rPr>
                <w:b/>
                <w:szCs w:val="24"/>
              </w:rPr>
              <w:t xml:space="preserve">Schließungen </w:t>
            </w:r>
            <w:r w:rsidRPr="00AA3896">
              <w:rPr>
                <w:b/>
                <w:szCs w:val="24"/>
              </w:rPr>
              <w:t>in Höhe von 75 </w:t>
            </w:r>
            <w:r w:rsidR="00DC4CC2">
              <w:rPr>
                <w:b/>
                <w:szCs w:val="24"/>
              </w:rPr>
              <w:t>Prozent</w:t>
            </w:r>
            <w:r w:rsidRPr="00AA3896">
              <w:rPr>
                <w:b/>
                <w:szCs w:val="24"/>
              </w:rPr>
              <w:t xml:space="preserve"> </w:t>
            </w:r>
            <w:r w:rsidR="00515AEC" w:rsidRPr="00AA3896">
              <w:rPr>
                <w:b/>
                <w:szCs w:val="24"/>
              </w:rPr>
              <w:t xml:space="preserve">des durchschnittlichen wöchentlichen Umsatzes im </w:t>
            </w:r>
            <w:r w:rsidRPr="00AA3896">
              <w:rPr>
                <w:b/>
                <w:szCs w:val="24"/>
              </w:rPr>
              <w:t>November 2019</w:t>
            </w:r>
            <w:r w:rsidRPr="005E0876">
              <w:rPr>
                <w:szCs w:val="24"/>
              </w:rPr>
              <w:t>.</w:t>
            </w:r>
          </w:p>
          <w:p w:rsidR="00B96C6B" w:rsidRPr="00F35143" w:rsidRDefault="00323680" w:rsidP="00B96C6B">
            <w:pPr>
              <w:spacing w:before="120" w:line="276" w:lineRule="auto"/>
              <w:rPr>
                <w:szCs w:val="24"/>
              </w:rPr>
            </w:pPr>
            <w:r w:rsidRPr="00323680">
              <w:rPr>
                <w:szCs w:val="24"/>
              </w:rPr>
              <w:t xml:space="preserve">Soloselbstständige </w:t>
            </w:r>
            <w:r w:rsidR="00DC4CC2">
              <w:rPr>
                <w:szCs w:val="24"/>
              </w:rPr>
              <w:t xml:space="preserve">können </w:t>
            </w:r>
            <w:r w:rsidRPr="00323680">
              <w:rPr>
                <w:szCs w:val="24"/>
              </w:rPr>
              <w:t xml:space="preserve">als Vergleichsumsatz alternativ </w:t>
            </w:r>
            <w:r w:rsidR="003628BA">
              <w:rPr>
                <w:szCs w:val="24"/>
              </w:rPr>
              <w:t>de</w:t>
            </w:r>
            <w:r w:rsidR="00970447">
              <w:rPr>
                <w:szCs w:val="24"/>
              </w:rPr>
              <w:t>n</w:t>
            </w:r>
            <w:r w:rsidR="003628BA">
              <w:rPr>
                <w:szCs w:val="24"/>
              </w:rPr>
              <w:t xml:space="preserve"> durchschnittliche</w:t>
            </w:r>
            <w:r w:rsidR="00970447">
              <w:rPr>
                <w:szCs w:val="24"/>
              </w:rPr>
              <w:t>n</w:t>
            </w:r>
            <w:r w:rsidR="003628BA">
              <w:rPr>
                <w:szCs w:val="24"/>
              </w:rPr>
              <w:t xml:space="preserve"> </w:t>
            </w:r>
            <w:r w:rsidR="00970447">
              <w:rPr>
                <w:szCs w:val="24"/>
              </w:rPr>
              <w:t>Monats</w:t>
            </w:r>
            <w:r w:rsidR="003628BA">
              <w:rPr>
                <w:szCs w:val="24"/>
              </w:rPr>
              <w:t>umsatz im Jahre</w:t>
            </w:r>
            <w:r w:rsidRPr="00323680">
              <w:rPr>
                <w:szCs w:val="24"/>
              </w:rPr>
              <w:t xml:space="preserve"> 2019 zugrunde </w:t>
            </w:r>
            <w:r w:rsidR="00DC4CC2">
              <w:rPr>
                <w:szCs w:val="24"/>
              </w:rPr>
              <w:t>legen</w:t>
            </w:r>
            <w:r w:rsidRPr="00323680">
              <w:rPr>
                <w:szCs w:val="24"/>
              </w:rPr>
              <w:t xml:space="preserve">. Bei </w:t>
            </w:r>
            <w:r w:rsidR="00E65931">
              <w:rPr>
                <w:szCs w:val="24"/>
              </w:rPr>
              <w:t>Antragsberechtigten</w:t>
            </w:r>
            <w:r w:rsidRPr="00323680">
              <w:rPr>
                <w:szCs w:val="24"/>
              </w:rPr>
              <w:t xml:space="preserve">, die nach dem 31. Oktober 2019 </w:t>
            </w:r>
            <w:r w:rsidR="00847E2B">
              <w:rPr>
                <w:szCs w:val="24"/>
              </w:rPr>
              <w:t xml:space="preserve">ihre </w:t>
            </w:r>
            <w:r w:rsidR="00847E2B">
              <w:rPr>
                <w:szCs w:val="24"/>
              </w:rPr>
              <w:lastRenderedPageBreak/>
              <w:t>Geschäftstätigkeit aufgenommen haben</w:t>
            </w:r>
            <w:r w:rsidRPr="00323680">
              <w:rPr>
                <w:szCs w:val="24"/>
              </w:rPr>
              <w:t xml:space="preserve">, kann als Vergleichsumsatz der Monatsumsatz im Oktober 2020 oder der monatliche Durchschnittsumsatz seit Gründung gewählt werden. </w:t>
            </w:r>
          </w:p>
        </w:tc>
      </w:tr>
      <w:tr w:rsidR="00805D79" w:rsidRPr="00F35143" w:rsidTr="00354978">
        <w:trPr>
          <w:trHeight w:val="1669"/>
        </w:trPr>
        <w:tc>
          <w:tcPr>
            <w:tcW w:w="2439" w:type="dxa"/>
            <w:shd w:val="clear" w:color="auto" w:fill="CDE1EB"/>
          </w:tcPr>
          <w:p w:rsidR="00805D79" w:rsidRPr="00F35143" w:rsidRDefault="00515AEC" w:rsidP="00515AEC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Beihilferahmen</w:t>
            </w:r>
          </w:p>
        </w:tc>
        <w:tc>
          <w:tcPr>
            <w:tcW w:w="7654" w:type="dxa"/>
          </w:tcPr>
          <w:p w:rsidR="00515AEC" w:rsidRDefault="00515AEC" w:rsidP="00412542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E0876">
              <w:rPr>
                <w:szCs w:val="24"/>
              </w:rPr>
              <w:t xml:space="preserve">er beihilferechtliche Rahmen ergibt sich aus der Förderhöhe: </w:t>
            </w:r>
          </w:p>
          <w:p w:rsidR="003C0578" w:rsidRDefault="003C0578" w:rsidP="00B44FC3">
            <w:pPr>
              <w:spacing w:before="120" w:line="276" w:lineRule="auto"/>
              <w:ind w:left="346" w:hanging="346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B4E3C">
              <w:rPr>
                <w:b/>
                <w:sz w:val="32"/>
              </w:rPr>
              <w:tab/>
            </w:r>
            <w:r w:rsidRPr="004B4E3C">
              <w:rPr>
                <w:b/>
                <w:szCs w:val="24"/>
              </w:rPr>
              <w:t>Beihilfen bis 1 Mio. Euro</w:t>
            </w:r>
            <w:r>
              <w:rPr>
                <w:szCs w:val="24"/>
              </w:rPr>
              <w:t xml:space="preserve"> (gestützt auf Kleinbeihilfenregelung und De-</w:t>
            </w:r>
            <w:proofErr w:type="spellStart"/>
            <w:r>
              <w:rPr>
                <w:szCs w:val="24"/>
              </w:rPr>
              <w:t>Minimis</w:t>
            </w:r>
            <w:proofErr w:type="spellEnd"/>
            <w:r>
              <w:rPr>
                <w:szCs w:val="24"/>
              </w:rPr>
              <w:t>-VO)</w:t>
            </w:r>
          </w:p>
          <w:p w:rsidR="00D773A7" w:rsidRPr="00D522C0" w:rsidRDefault="003C0578" w:rsidP="00B44FC3">
            <w:pPr>
              <w:spacing w:before="120" w:line="276" w:lineRule="auto"/>
              <w:ind w:left="346" w:hanging="346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B4E3C">
              <w:rPr>
                <w:b/>
                <w:sz w:val="32"/>
              </w:rPr>
              <w:tab/>
            </w:r>
            <w:r w:rsidR="00D773A7">
              <w:rPr>
                <w:b/>
                <w:szCs w:val="24"/>
              </w:rPr>
              <w:t>Beihilfen bis 4 Mio. Euro</w:t>
            </w:r>
            <w:r w:rsidR="00D773A7">
              <w:rPr>
                <w:szCs w:val="24"/>
              </w:rPr>
              <w:t xml:space="preserve"> (gestützt auf Bundesregelung Fixkostenhilfe sowie vorgenannte Novemberhilfe)</w:t>
            </w:r>
          </w:p>
          <w:p w:rsidR="00805D79" w:rsidRPr="00513FA0" w:rsidRDefault="00D773A7" w:rsidP="00340AD3">
            <w:pPr>
              <w:spacing w:before="120" w:line="276" w:lineRule="auto"/>
              <w:ind w:left="346" w:hanging="346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b/>
                <w:sz w:val="32"/>
              </w:rPr>
              <w:tab/>
            </w:r>
            <w:r w:rsidR="003C0578" w:rsidRPr="004B4E3C">
              <w:rPr>
                <w:b/>
                <w:szCs w:val="24"/>
              </w:rPr>
              <w:t xml:space="preserve">Beihilfen über </w:t>
            </w:r>
            <w:r>
              <w:rPr>
                <w:b/>
                <w:szCs w:val="24"/>
              </w:rPr>
              <w:t>4</w:t>
            </w:r>
            <w:r w:rsidR="003C0578" w:rsidRPr="004B4E3C">
              <w:rPr>
                <w:b/>
                <w:szCs w:val="24"/>
              </w:rPr>
              <w:t xml:space="preserve"> Mio. Euro </w:t>
            </w:r>
            <w:r w:rsidRPr="00D522C0">
              <w:rPr>
                <w:szCs w:val="24"/>
              </w:rPr>
              <w:t>(</w:t>
            </w:r>
            <w:r w:rsidR="003C0578" w:rsidRPr="00D522C0">
              <w:rPr>
                <w:szCs w:val="24"/>
              </w:rPr>
              <w:t xml:space="preserve">nach </w:t>
            </w:r>
            <w:proofErr w:type="spellStart"/>
            <w:r w:rsidR="003C0578" w:rsidRPr="00D522C0">
              <w:rPr>
                <w:szCs w:val="24"/>
              </w:rPr>
              <w:t>Notifizierung</w:t>
            </w:r>
            <w:proofErr w:type="spellEnd"/>
            <w:r w:rsidR="003C0578" w:rsidRPr="00D522C0">
              <w:rPr>
                <w:szCs w:val="24"/>
              </w:rPr>
              <w:t xml:space="preserve"> bei der EU-Kommission</w:t>
            </w:r>
            <w:r w:rsidR="003C0578" w:rsidRPr="004B4E3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auf Basis von</w:t>
            </w:r>
            <w:r w:rsidR="003C0578">
              <w:rPr>
                <w:szCs w:val="24"/>
              </w:rPr>
              <w:t xml:space="preserve"> Art. </w:t>
            </w:r>
            <w:r w:rsidR="00FD7179" w:rsidRPr="00FD7179">
              <w:rPr>
                <w:szCs w:val="24"/>
              </w:rPr>
              <w:t>107 Abs. 2 b AEUV</w:t>
            </w:r>
            <w:r w:rsidR="00FD7179">
              <w:rPr>
                <w:szCs w:val="24"/>
              </w:rPr>
              <w:t>).</w:t>
            </w:r>
          </w:p>
        </w:tc>
      </w:tr>
      <w:tr w:rsidR="00515AEC" w:rsidRPr="00F35143" w:rsidTr="00354978">
        <w:trPr>
          <w:trHeight w:val="770"/>
        </w:trPr>
        <w:tc>
          <w:tcPr>
            <w:tcW w:w="2439" w:type="dxa"/>
            <w:shd w:val="clear" w:color="auto" w:fill="CDE1EB"/>
          </w:tcPr>
          <w:p w:rsidR="00515AEC" w:rsidRDefault="00515AEC" w:rsidP="00515AEC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Anrechnung erhaltener Leistungen</w:t>
            </w:r>
          </w:p>
        </w:tc>
        <w:tc>
          <w:tcPr>
            <w:tcW w:w="7654" w:type="dxa"/>
          </w:tcPr>
          <w:p w:rsidR="00515AEC" w:rsidRDefault="001E2E02" w:rsidP="00AA3988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Andere</w:t>
            </w:r>
            <w:r w:rsidR="009F1CD9">
              <w:rPr>
                <w:szCs w:val="24"/>
              </w:rPr>
              <w:t xml:space="preserve"> gleichartige</w:t>
            </w:r>
            <w:r>
              <w:rPr>
                <w:szCs w:val="24"/>
              </w:rPr>
              <w:t xml:space="preserve"> </w:t>
            </w:r>
            <w:r w:rsidR="00515AEC">
              <w:rPr>
                <w:szCs w:val="24"/>
              </w:rPr>
              <w:t>Leistungen</w:t>
            </w:r>
            <w:r>
              <w:rPr>
                <w:szCs w:val="24"/>
              </w:rPr>
              <w:t xml:space="preserve"> für den Förderzeitraum</w:t>
            </w:r>
            <w:r w:rsidR="00515AEC">
              <w:rPr>
                <w:szCs w:val="24"/>
              </w:rPr>
              <w:t xml:space="preserve"> wie Überbrückungshilfe </w:t>
            </w:r>
            <w:r w:rsidR="00340AD3">
              <w:rPr>
                <w:szCs w:val="24"/>
              </w:rPr>
              <w:t>und das</w:t>
            </w:r>
            <w:r w:rsidR="00515AEC">
              <w:rPr>
                <w:szCs w:val="24"/>
              </w:rPr>
              <w:t xml:space="preserve"> </w:t>
            </w:r>
            <w:r w:rsidR="00AA3988">
              <w:rPr>
                <w:szCs w:val="24"/>
              </w:rPr>
              <w:t xml:space="preserve">Kurzarbeitergeld </w:t>
            </w:r>
            <w:r w:rsidR="00FD7179">
              <w:rPr>
                <w:szCs w:val="24"/>
              </w:rPr>
              <w:t>werden</w:t>
            </w:r>
            <w:r w:rsidR="00515AEC">
              <w:rPr>
                <w:szCs w:val="24"/>
              </w:rPr>
              <w:t xml:space="preserve"> angerechnet</w:t>
            </w:r>
            <w:r w:rsidR="00340AD3">
              <w:rPr>
                <w:szCs w:val="24"/>
              </w:rPr>
              <w:t>.</w:t>
            </w:r>
          </w:p>
        </w:tc>
      </w:tr>
      <w:tr w:rsidR="00A37343" w:rsidRPr="00F35143" w:rsidTr="00354978">
        <w:trPr>
          <w:trHeight w:val="1669"/>
        </w:trPr>
        <w:tc>
          <w:tcPr>
            <w:tcW w:w="2439" w:type="dxa"/>
            <w:shd w:val="clear" w:color="auto" w:fill="CDE1EB"/>
          </w:tcPr>
          <w:p w:rsidR="00A37343" w:rsidRDefault="00A37343" w:rsidP="005204D7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 xml:space="preserve">Anrechnung </w:t>
            </w:r>
            <w:r w:rsidR="00B96C6B">
              <w:rPr>
                <w:szCs w:val="24"/>
              </w:rPr>
              <w:t xml:space="preserve">/ </w:t>
            </w:r>
            <w:r>
              <w:rPr>
                <w:szCs w:val="24"/>
              </w:rPr>
              <w:t>Lieferdienste</w:t>
            </w:r>
          </w:p>
        </w:tc>
        <w:tc>
          <w:tcPr>
            <w:tcW w:w="7654" w:type="dxa"/>
          </w:tcPr>
          <w:p w:rsidR="00A37343" w:rsidRDefault="00A37343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Umsätze von mehr als 25</w:t>
            </w:r>
            <w:r w:rsidR="0049662C">
              <w:rPr>
                <w:szCs w:val="24"/>
              </w:rPr>
              <w:t xml:space="preserve"> Prozent</w:t>
            </w:r>
            <w:r>
              <w:rPr>
                <w:szCs w:val="24"/>
              </w:rPr>
              <w:t xml:space="preserve"> werden auf die Umsatzerstattung angerechnet (damit es keine Überförderung von mehr als 100</w:t>
            </w:r>
            <w:r w:rsidR="0049662C">
              <w:rPr>
                <w:szCs w:val="24"/>
              </w:rPr>
              <w:t xml:space="preserve"> Prozent</w:t>
            </w:r>
            <w:r>
              <w:rPr>
                <w:szCs w:val="24"/>
              </w:rPr>
              <w:t xml:space="preserve"> des</w:t>
            </w:r>
            <w:r w:rsidR="00224824">
              <w:rPr>
                <w:szCs w:val="24"/>
              </w:rPr>
              <w:t xml:space="preserve"> Ver</w:t>
            </w:r>
            <w:r w:rsidR="00FC7CA7">
              <w:rPr>
                <w:szCs w:val="24"/>
              </w:rPr>
              <w:t>gleichs-</w:t>
            </w:r>
            <w:r>
              <w:rPr>
                <w:szCs w:val="24"/>
              </w:rPr>
              <w:t>Umsatzes</w:t>
            </w:r>
            <w:r w:rsidR="00A87BC7">
              <w:rPr>
                <w:szCs w:val="24"/>
              </w:rPr>
              <w:t xml:space="preserve"> gibt</w:t>
            </w:r>
            <w:r>
              <w:rPr>
                <w:szCs w:val="24"/>
              </w:rPr>
              <w:t>).</w:t>
            </w:r>
          </w:p>
          <w:p w:rsidR="00A37343" w:rsidRDefault="00044E26" w:rsidP="00354978">
            <w:pPr>
              <w:widowControl w:val="0"/>
              <w:spacing w:before="120" w:line="276" w:lineRule="auto"/>
              <w:rPr>
                <w:szCs w:val="24"/>
              </w:rPr>
            </w:pPr>
            <w:r w:rsidRPr="002815DD">
              <w:rPr>
                <w:szCs w:val="24"/>
              </w:rPr>
              <w:t>F</w:t>
            </w:r>
            <w:r w:rsidRPr="00100B14">
              <w:rPr>
                <w:szCs w:val="24"/>
              </w:rPr>
              <w:t>ür Restaurants</w:t>
            </w:r>
            <w:r>
              <w:rPr>
                <w:szCs w:val="24"/>
              </w:rPr>
              <w:t xml:space="preserve"> wird die Umsatzerstattung auf 75 Prozent der Umsätze im Vergleichszeitraum 2019 mit vollem Mehrwertsteuersatz begrenzt. Damit werden Außerhausverkaufsumsätze mit reduziertem Mehrwertsteuersatz herausgerechnet. Im Gegenzug werden die Außerhausverkaufsumsätze </w:t>
            </w:r>
            <w:r w:rsidR="00354978">
              <w:rPr>
                <w:szCs w:val="24"/>
              </w:rPr>
              <w:t xml:space="preserve">während der Schließungen </w:t>
            </w:r>
            <w:r>
              <w:rPr>
                <w:szCs w:val="24"/>
              </w:rPr>
              <w:t>von der Umsatzanrechnung ausgenommen, um eine Ausweitung dieses Geschäfts zu begünstigen</w:t>
            </w:r>
            <w:r w:rsidR="002815DD">
              <w:rPr>
                <w:szCs w:val="24"/>
              </w:rPr>
              <w:t>.</w:t>
            </w:r>
          </w:p>
        </w:tc>
      </w:tr>
      <w:tr w:rsidR="00C35ADD" w:rsidRPr="00F35143" w:rsidTr="00354978">
        <w:trPr>
          <w:trHeight w:val="499"/>
        </w:trPr>
        <w:tc>
          <w:tcPr>
            <w:tcW w:w="2439" w:type="dxa"/>
            <w:shd w:val="clear" w:color="auto" w:fill="CDE1EB"/>
          </w:tcPr>
          <w:p w:rsidR="00C35ADD" w:rsidRDefault="00C35ADD" w:rsidP="00515AEC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Verbundene Unternehmen</w:t>
            </w:r>
          </w:p>
        </w:tc>
        <w:tc>
          <w:tcPr>
            <w:tcW w:w="7654" w:type="dxa"/>
          </w:tcPr>
          <w:p w:rsidR="00C35ADD" w:rsidRDefault="00873B65" w:rsidP="001E2E02">
            <w:pPr>
              <w:spacing w:before="120" w:line="276" w:lineRule="auto"/>
              <w:rPr>
                <w:szCs w:val="24"/>
              </w:rPr>
            </w:pPr>
            <w:r w:rsidRPr="00873B65">
              <w:rPr>
                <w:szCs w:val="24"/>
              </w:rPr>
              <w:t>Antragsberechtigung</w:t>
            </w:r>
            <w:r>
              <w:rPr>
                <w:szCs w:val="24"/>
              </w:rPr>
              <w:t xml:space="preserve">, </w:t>
            </w:r>
            <w:r w:rsidRPr="00873B65">
              <w:rPr>
                <w:szCs w:val="24"/>
              </w:rPr>
              <w:t xml:space="preserve">wenn </w:t>
            </w:r>
            <w:r>
              <w:rPr>
                <w:szCs w:val="24"/>
              </w:rPr>
              <w:t xml:space="preserve">mehr als </w:t>
            </w:r>
            <w:r w:rsidR="001E2E02">
              <w:rPr>
                <w:szCs w:val="24"/>
              </w:rPr>
              <w:t>8</w:t>
            </w:r>
            <w:r w:rsidRPr="00873B65">
              <w:rPr>
                <w:szCs w:val="24"/>
              </w:rPr>
              <w:t>0</w:t>
            </w:r>
            <w:r w:rsidR="00465EDD">
              <w:rPr>
                <w:szCs w:val="24"/>
              </w:rPr>
              <w:t xml:space="preserve"> Prozent </w:t>
            </w:r>
            <w:r w:rsidRPr="00873B65">
              <w:rPr>
                <w:szCs w:val="24"/>
              </w:rPr>
              <w:t xml:space="preserve">des verbundweiten Gesamtumsatzes </w:t>
            </w:r>
            <w:r>
              <w:rPr>
                <w:szCs w:val="24"/>
              </w:rPr>
              <w:t>auf</w:t>
            </w:r>
            <w:r w:rsidRPr="00873B65">
              <w:rPr>
                <w:szCs w:val="24"/>
              </w:rPr>
              <w:t xml:space="preserve"> direkt oder indirekt </w:t>
            </w:r>
            <w:r>
              <w:rPr>
                <w:szCs w:val="24"/>
              </w:rPr>
              <w:t>betroffene Verbundunternehmen entfällt. Erstattet werden 75</w:t>
            </w:r>
            <w:r w:rsidR="00CE1D4A">
              <w:rPr>
                <w:szCs w:val="24"/>
              </w:rPr>
              <w:t xml:space="preserve"> Prozent</w:t>
            </w:r>
            <w:r>
              <w:rPr>
                <w:szCs w:val="24"/>
              </w:rPr>
              <w:t xml:space="preserve"> des Umsatzes d</w:t>
            </w:r>
            <w:r w:rsidR="004C5F73">
              <w:rPr>
                <w:szCs w:val="24"/>
              </w:rPr>
              <w:t>er betroffenen</w:t>
            </w:r>
            <w:r>
              <w:rPr>
                <w:szCs w:val="24"/>
              </w:rPr>
              <w:t xml:space="preserve"> Verbundunternehmen.</w:t>
            </w:r>
          </w:p>
        </w:tc>
      </w:tr>
      <w:tr w:rsidR="00661564" w:rsidRPr="00F35143" w:rsidTr="00354978">
        <w:tc>
          <w:tcPr>
            <w:tcW w:w="2439" w:type="dxa"/>
            <w:shd w:val="clear" w:color="auto" w:fill="CDE1EB"/>
          </w:tcPr>
          <w:p w:rsidR="00661564" w:rsidRPr="00F35143" w:rsidRDefault="00661564" w:rsidP="00661564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 xml:space="preserve">Laufzeit </w:t>
            </w:r>
          </w:p>
        </w:tc>
        <w:tc>
          <w:tcPr>
            <w:tcW w:w="7654" w:type="dxa"/>
          </w:tcPr>
          <w:p w:rsidR="00661564" w:rsidRPr="00F35143" w:rsidRDefault="002C0FC1" w:rsidP="00955743">
            <w:pPr>
              <w:spacing w:before="120"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Dauer </w:t>
            </w:r>
            <w:r w:rsidR="00354978">
              <w:rPr>
                <w:b/>
                <w:szCs w:val="24"/>
              </w:rPr>
              <w:t xml:space="preserve">der Schließungen </w:t>
            </w:r>
            <w:r>
              <w:rPr>
                <w:b/>
                <w:szCs w:val="24"/>
              </w:rPr>
              <w:t xml:space="preserve">im </w:t>
            </w:r>
            <w:r w:rsidR="003C0578">
              <w:rPr>
                <w:b/>
                <w:szCs w:val="24"/>
              </w:rPr>
              <w:t xml:space="preserve">November </w:t>
            </w:r>
            <w:r w:rsidR="00FA2DB5">
              <w:rPr>
                <w:b/>
                <w:szCs w:val="24"/>
              </w:rPr>
              <w:t>2020</w:t>
            </w:r>
          </w:p>
        </w:tc>
      </w:tr>
      <w:tr w:rsidR="00661564" w:rsidRPr="00F35143" w:rsidTr="00354978">
        <w:trPr>
          <w:trHeight w:val="499"/>
        </w:trPr>
        <w:tc>
          <w:tcPr>
            <w:tcW w:w="2439" w:type="dxa"/>
            <w:shd w:val="clear" w:color="auto" w:fill="CDE1EB"/>
          </w:tcPr>
          <w:p w:rsidR="00661564" w:rsidRPr="00F35143" w:rsidRDefault="008B5AAE" w:rsidP="00661564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Antragstellung</w:t>
            </w:r>
          </w:p>
        </w:tc>
        <w:tc>
          <w:tcPr>
            <w:tcW w:w="7654" w:type="dxa"/>
          </w:tcPr>
          <w:p w:rsidR="002815DD" w:rsidRDefault="008B5AAE" w:rsidP="00F4529D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>Elektronische</w:t>
            </w:r>
            <w:r w:rsidR="00661564" w:rsidRPr="00F572AF">
              <w:rPr>
                <w:szCs w:val="24"/>
              </w:rPr>
              <w:t xml:space="preserve"> Antragstellung</w:t>
            </w:r>
            <w:r w:rsidR="00661564">
              <w:rPr>
                <w:szCs w:val="24"/>
              </w:rPr>
              <w:t xml:space="preserve"> durch Steuerberater und Wirtschaftsprüfer</w:t>
            </w:r>
            <w:r w:rsidR="00AB4FCD">
              <w:rPr>
                <w:szCs w:val="24"/>
              </w:rPr>
              <w:t xml:space="preserve"> und Auszahlung</w:t>
            </w:r>
            <w:r>
              <w:rPr>
                <w:szCs w:val="24"/>
              </w:rPr>
              <w:t xml:space="preserve"> </w:t>
            </w:r>
            <w:r w:rsidRPr="00AA3896">
              <w:rPr>
                <w:b/>
                <w:szCs w:val="24"/>
              </w:rPr>
              <w:t>über die Überbrückungshilfe-Plattform</w:t>
            </w:r>
            <w:r>
              <w:rPr>
                <w:szCs w:val="24"/>
              </w:rPr>
              <w:t>.</w:t>
            </w:r>
            <w:r w:rsidR="00847E2B">
              <w:rPr>
                <w:szCs w:val="24"/>
              </w:rPr>
              <w:t xml:space="preserve"> </w:t>
            </w:r>
          </w:p>
          <w:p w:rsidR="00661564" w:rsidRPr="00F35143" w:rsidRDefault="008B5AAE" w:rsidP="00584482">
            <w:pPr>
              <w:spacing w:before="120" w:line="276" w:lineRule="auto"/>
              <w:rPr>
                <w:szCs w:val="24"/>
              </w:rPr>
            </w:pPr>
            <w:r>
              <w:rPr>
                <w:szCs w:val="24"/>
              </w:rPr>
              <w:t xml:space="preserve">Soloselbständige </w:t>
            </w:r>
            <w:r w:rsidR="004C5F73">
              <w:rPr>
                <w:szCs w:val="24"/>
              </w:rPr>
              <w:t xml:space="preserve">sollen </w:t>
            </w:r>
            <w:r>
              <w:rPr>
                <w:szCs w:val="24"/>
              </w:rPr>
              <w:t xml:space="preserve">bis zu einem Förderhöchstsatz von </w:t>
            </w:r>
            <w:r w:rsidRPr="002815DD">
              <w:rPr>
                <w:szCs w:val="24"/>
              </w:rPr>
              <w:t>5.000 Euro</w:t>
            </w:r>
            <w:r w:rsidR="00515AEC">
              <w:rPr>
                <w:szCs w:val="24"/>
              </w:rPr>
              <w:t xml:space="preserve"> </w:t>
            </w:r>
            <w:r w:rsidR="00F4529D">
              <w:rPr>
                <w:szCs w:val="24"/>
              </w:rPr>
              <w:t>un</w:t>
            </w:r>
            <w:r w:rsidR="00FD30D6">
              <w:rPr>
                <w:szCs w:val="24"/>
              </w:rPr>
              <w:t>ter besonderen Identifizierungs</w:t>
            </w:r>
            <w:r w:rsidR="00F4529D">
              <w:rPr>
                <w:szCs w:val="24"/>
              </w:rPr>
              <w:t xml:space="preserve">pflichten </w:t>
            </w:r>
            <w:r w:rsidR="00515AEC">
              <w:rPr>
                <w:szCs w:val="24"/>
              </w:rPr>
              <w:t>direkt antragsberechtigt</w:t>
            </w:r>
            <w:r w:rsidR="004C5F73">
              <w:rPr>
                <w:szCs w:val="24"/>
              </w:rPr>
              <w:t xml:space="preserve"> sein</w:t>
            </w:r>
            <w:r>
              <w:rPr>
                <w:szCs w:val="24"/>
              </w:rPr>
              <w:t xml:space="preserve">. </w:t>
            </w:r>
            <w:r w:rsidR="00661564">
              <w:rPr>
                <w:szCs w:val="24"/>
              </w:rPr>
              <w:t xml:space="preserve"> </w:t>
            </w:r>
          </w:p>
        </w:tc>
      </w:tr>
      <w:tr w:rsidR="00661564" w:rsidRPr="00F35143" w:rsidTr="00354978">
        <w:tc>
          <w:tcPr>
            <w:tcW w:w="2439" w:type="dxa"/>
            <w:shd w:val="clear" w:color="auto" w:fill="CDE1EB"/>
          </w:tcPr>
          <w:p w:rsidR="00661564" w:rsidRPr="00F35143" w:rsidRDefault="00661564" w:rsidP="00661564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>Programmvolumen</w:t>
            </w:r>
          </w:p>
        </w:tc>
        <w:tc>
          <w:tcPr>
            <w:tcW w:w="7654" w:type="dxa"/>
          </w:tcPr>
          <w:p w:rsidR="00661564" w:rsidRPr="00586399" w:rsidRDefault="00354978" w:rsidP="002815DD">
            <w:pPr>
              <w:spacing w:before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Voraussichtlich </w:t>
            </w:r>
            <w:r w:rsidR="00B522A9">
              <w:rPr>
                <w:b/>
                <w:szCs w:val="24"/>
              </w:rPr>
              <w:t xml:space="preserve">ca. </w:t>
            </w:r>
            <w:r w:rsidR="00FD7179">
              <w:rPr>
                <w:b/>
                <w:szCs w:val="24"/>
              </w:rPr>
              <w:t>10 Mrd. Euro</w:t>
            </w:r>
          </w:p>
        </w:tc>
      </w:tr>
      <w:tr w:rsidR="00661564" w:rsidRPr="00F35143" w:rsidTr="00354978">
        <w:tc>
          <w:tcPr>
            <w:tcW w:w="2439" w:type="dxa"/>
            <w:shd w:val="clear" w:color="auto" w:fill="CDE1EB"/>
          </w:tcPr>
          <w:p w:rsidR="00661564" w:rsidRPr="00F35143" w:rsidRDefault="00661564" w:rsidP="00661564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>Haushalt</w:t>
            </w:r>
          </w:p>
        </w:tc>
        <w:tc>
          <w:tcPr>
            <w:tcW w:w="7654" w:type="dxa"/>
          </w:tcPr>
          <w:p w:rsidR="00661564" w:rsidRPr="00F35143" w:rsidRDefault="00661564" w:rsidP="005A68AD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>E</w:t>
            </w:r>
            <w:r>
              <w:rPr>
                <w:szCs w:val="24"/>
              </w:rPr>
              <w:t>PL</w:t>
            </w:r>
            <w:r w:rsidRPr="00F35143">
              <w:rPr>
                <w:szCs w:val="24"/>
              </w:rPr>
              <w:t xml:space="preserve"> 60</w:t>
            </w:r>
          </w:p>
        </w:tc>
      </w:tr>
      <w:tr w:rsidR="00661564" w:rsidRPr="00F35143" w:rsidTr="00354978">
        <w:tc>
          <w:tcPr>
            <w:tcW w:w="2439" w:type="dxa"/>
            <w:shd w:val="clear" w:color="auto" w:fill="CDE1EB"/>
          </w:tcPr>
          <w:p w:rsidR="00661564" w:rsidRPr="00F35143" w:rsidRDefault="00661564" w:rsidP="00661564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>Verwaltung</w:t>
            </w:r>
          </w:p>
        </w:tc>
        <w:tc>
          <w:tcPr>
            <w:tcW w:w="7654" w:type="dxa"/>
          </w:tcPr>
          <w:p w:rsidR="00661564" w:rsidRPr="00F35143" w:rsidRDefault="00661564" w:rsidP="00661564">
            <w:pPr>
              <w:spacing w:before="120" w:line="276" w:lineRule="auto"/>
              <w:rPr>
                <w:szCs w:val="24"/>
              </w:rPr>
            </w:pPr>
            <w:r w:rsidRPr="00F35143">
              <w:rPr>
                <w:szCs w:val="24"/>
              </w:rPr>
              <w:t xml:space="preserve">Länder </w:t>
            </w:r>
          </w:p>
        </w:tc>
      </w:tr>
    </w:tbl>
    <w:p w:rsidR="00CC3D0F" w:rsidRDefault="00CC3D0F" w:rsidP="008F5D1E">
      <w:pPr>
        <w:rPr>
          <w:szCs w:val="22"/>
        </w:rPr>
      </w:pPr>
    </w:p>
    <w:sectPr w:rsidR="00CC3D0F" w:rsidSect="00D522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567" w:footer="794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E7BF" w16cex:dateUtc="2020-11-03T13:29:00Z"/>
  <w16cex:commentExtensible w16cex:durableId="234BF4B1" w16cex:dateUtc="2020-11-03T14:24:00Z"/>
  <w16cex:commentExtensible w16cex:durableId="234BEB6C" w16cex:dateUtc="2020-11-03T13:45:00Z"/>
  <w16cex:commentExtensible w16cex:durableId="234BF541" w16cex:dateUtc="2020-11-03T14:26:00Z"/>
  <w16cex:commentExtensible w16cex:durableId="234BEBA4" w16cex:dateUtc="2020-11-03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2C9B9" w16cid:durableId="234BE7BF"/>
  <w16cid:commentId w16cid:paraId="56BF1C7A" w16cid:durableId="234BF47B"/>
  <w16cid:commentId w16cid:paraId="1B283AE0" w16cid:durableId="234BF4B1"/>
  <w16cid:commentId w16cid:paraId="1797AA53" w16cid:durableId="234BEB6C"/>
  <w16cid:commentId w16cid:paraId="362A2E79" w16cid:durableId="234BF482"/>
  <w16cid:commentId w16cid:paraId="642865CD" w16cid:durableId="234BF541"/>
  <w16cid:commentId w16cid:paraId="3DCB030C" w16cid:durableId="234BE441"/>
  <w16cid:commentId w16cid:paraId="1122E061" w16cid:durableId="234BEBA4"/>
  <w16cid:commentId w16cid:paraId="1B50550C" w16cid:durableId="234BF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92" w:rsidRDefault="00DD1592">
      <w:pPr>
        <w:spacing w:line="240" w:lineRule="auto"/>
      </w:pPr>
      <w:r>
        <w:separator/>
      </w:r>
    </w:p>
  </w:endnote>
  <w:endnote w:type="continuationSeparator" w:id="0">
    <w:p w:rsidR="00DD1592" w:rsidRDefault="00DD1592">
      <w:pPr>
        <w:spacing w:line="240" w:lineRule="auto"/>
      </w:pPr>
      <w:r>
        <w:continuationSeparator/>
      </w:r>
    </w:p>
  </w:endnote>
  <w:endnote w:type="continuationNotice" w:id="1">
    <w:p w:rsidR="00DD1592" w:rsidRDefault="00DD15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E" w:rsidRDefault="008B5AAE">
    <w:pPr>
      <w:framePr w:hSpace="142" w:wrap="notBeside" w:vAnchor="page" w:hAnchor="page" w:x="8619" w:y="15764"/>
    </w:pPr>
  </w:p>
  <w:p w:rsidR="008B5AAE" w:rsidRPr="00C82B11" w:rsidRDefault="008B5AAE" w:rsidP="008F5D1E">
    <w:pPr>
      <w:pStyle w:val="Fuzeile"/>
      <w:spacing w:line="240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E" w:rsidRPr="00C82B11" w:rsidRDefault="008B5AAE">
    <w:pPr>
      <w:pStyle w:val="Fuzeile"/>
      <w:spacing w:line="240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92" w:rsidRDefault="00DD1592">
      <w:pPr>
        <w:spacing w:line="240" w:lineRule="auto"/>
      </w:pPr>
      <w:r>
        <w:separator/>
      </w:r>
    </w:p>
  </w:footnote>
  <w:footnote w:type="continuationSeparator" w:id="0">
    <w:p w:rsidR="00DD1592" w:rsidRDefault="00DD1592">
      <w:pPr>
        <w:spacing w:line="240" w:lineRule="auto"/>
      </w:pPr>
      <w:r>
        <w:continuationSeparator/>
      </w:r>
    </w:p>
  </w:footnote>
  <w:footnote w:type="continuationNotice" w:id="1">
    <w:p w:rsidR="00DD1592" w:rsidRDefault="00DD1592">
      <w:pPr>
        <w:spacing w:line="240" w:lineRule="auto"/>
      </w:pPr>
    </w:p>
  </w:footnote>
  <w:footnote w:id="2">
    <w:p w:rsidR="0048332A" w:rsidRDefault="004833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F79E1">
        <w:t>Die beinhaltet eine s</w:t>
      </w:r>
      <w:r>
        <w:t>ubventionserhebliche Erklärung des Antragstellers in Ziffer 5 bzw. 6 Absatz 2 der Vollzugshinweise, die das Vorliegen der Bedingungen der jeweiligen</w:t>
      </w:r>
      <w:r w:rsidR="007F7344">
        <w:t xml:space="preserve"> Möglichkeiten der Antragsberechtigung</w:t>
      </w:r>
      <w:r>
        <w:t xml:space="preserve"> gemäß Term Sheet bezeugt. </w:t>
      </w:r>
      <w:r w:rsidR="00533F15">
        <w:t xml:space="preserve">Diese </w:t>
      </w:r>
      <w:r w:rsidR="007F7344">
        <w:t xml:space="preserve">Erklärung </w:t>
      </w:r>
      <w:r w:rsidR="00533F15">
        <w:t>unterliegt gemäß Ziffer 7 Absatz 3 der Vollzugshinweise, wie alle weiteren Voraussetzungen für die Gewährung der Hilfe, der stichprobenartigen und verdachtsabhängigen Kontrolle durch die Bewilligungsstellen der Länder im Rahmen der Schlussabrechnung.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E" w:rsidRDefault="008B5AAE">
    <w:pPr>
      <w:pStyle w:val="Kopfzeile"/>
      <w:tabs>
        <w:tab w:val="clear" w:pos="4536"/>
      </w:tabs>
      <w:spacing w:after="240"/>
      <w:ind w:left="4366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6B9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A7" w:rsidRDefault="00D773A7" w:rsidP="00D522C0">
    <w:pPr>
      <w:pStyle w:val="Kopfzeile"/>
      <w:jc w:val="right"/>
    </w:pPr>
    <w:r>
      <w:t>S</w:t>
    </w:r>
    <w:r w:rsidR="008F05A5">
      <w:t>tand: 1</w:t>
    </w:r>
    <w:r w:rsidR="00896E64">
      <w:t>2</w:t>
    </w:r>
    <w:r>
      <w:t>. November 2020 (</w:t>
    </w:r>
    <w:r w:rsidR="00896E64">
      <w:t>1</w:t>
    </w:r>
    <w:r w:rsidR="00372A4F">
      <w:t>2</w:t>
    </w:r>
    <w:r w:rsidR="00AA3988">
      <w:t xml:space="preserve"> 30</w:t>
    </w:r>
    <w:r>
      <w:t xml:space="preserve"> Uhr)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F2A"/>
    <w:multiLevelType w:val="hybridMultilevel"/>
    <w:tmpl w:val="361C5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6"/>
    <w:rsid w:val="000055FF"/>
    <w:rsid w:val="00010679"/>
    <w:rsid w:val="000129DD"/>
    <w:rsid w:val="000131F6"/>
    <w:rsid w:val="00015028"/>
    <w:rsid w:val="0002664B"/>
    <w:rsid w:val="00026B95"/>
    <w:rsid w:val="00030029"/>
    <w:rsid w:val="000350A9"/>
    <w:rsid w:val="00044E26"/>
    <w:rsid w:val="00057DFA"/>
    <w:rsid w:val="00070864"/>
    <w:rsid w:val="0007433E"/>
    <w:rsid w:val="00080262"/>
    <w:rsid w:val="00095772"/>
    <w:rsid w:val="00097D2D"/>
    <w:rsid w:val="000B3B53"/>
    <w:rsid w:val="000C7F9E"/>
    <w:rsid w:val="000D5970"/>
    <w:rsid w:val="000D644E"/>
    <w:rsid w:val="000E39B5"/>
    <w:rsid w:val="00100B14"/>
    <w:rsid w:val="001024C7"/>
    <w:rsid w:val="00102675"/>
    <w:rsid w:val="001040EB"/>
    <w:rsid w:val="001229E6"/>
    <w:rsid w:val="0012372D"/>
    <w:rsid w:val="00125F08"/>
    <w:rsid w:val="0012666A"/>
    <w:rsid w:val="00132EDB"/>
    <w:rsid w:val="00133B7C"/>
    <w:rsid w:val="001354D5"/>
    <w:rsid w:val="0014091A"/>
    <w:rsid w:val="00160CE2"/>
    <w:rsid w:val="001748D9"/>
    <w:rsid w:val="00174EFA"/>
    <w:rsid w:val="001963D1"/>
    <w:rsid w:val="001B5BC1"/>
    <w:rsid w:val="001B5CB0"/>
    <w:rsid w:val="001C46F2"/>
    <w:rsid w:val="001C55E8"/>
    <w:rsid w:val="001E2E02"/>
    <w:rsid w:val="001F2DC1"/>
    <w:rsid w:val="00202E09"/>
    <w:rsid w:val="00204D06"/>
    <w:rsid w:val="0022229E"/>
    <w:rsid w:val="00224824"/>
    <w:rsid w:val="002334EF"/>
    <w:rsid w:val="0023457C"/>
    <w:rsid w:val="00245661"/>
    <w:rsid w:val="002467EA"/>
    <w:rsid w:val="00254B2D"/>
    <w:rsid w:val="00262771"/>
    <w:rsid w:val="00267E27"/>
    <w:rsid w:val="00271B75"/>
    <w:rsid w:val="002772C0"/>
    <w:rsid w:val="002815DD"/>
    <w:rsid w:val="002933C7"/>
    <w:rsid w:val="00294C2A"/>
    <w:rsid w:val="002A117D"/>
    <w:rsid w:val="002A2126"/>
    <w:rsid w:val="002B404C"/>
    <w:rsid w:val="002B4CDE"/>
    <w:rsid w:val="002B6796"/>
    <w:rsid w:val="002C0C44"/>
    <w:rsid w:val="002C0E2F"/>
    <w:rsid w:val="002C0FC1"/>
    <w:rsid w:val="002E4D10"/>
    <w:rsid w:val="00305DD8"/>
    <w:rsid w:val="003079B4"/>
    <w:rsid w:val="00321540"/>
    <w:rsid w:val="00323680"/>
    <w:rsid w:val="00331331"/>
    <w:rsid w:val="00332A44"/>
    <w:rsid w:val="00337AD5"/>
    <w:rsid w:val="00337CE3"/>
    <w:rsid w:val="00340AD3"/>
    <w:rsid w:val="003417B6"/>
    <w:rsid w:val="00341D8B"/>
    <w:rsid w:val="00351357"/>
    <w:rsid w:val="00354978"/>
    <w:rsid w:val="003573E9"/>
    <w:rsid w:val="00361B5D"/>
    <w:rsid w:val="003628BA"/>
    <w:rsid w:val="00371350"/>
    <w:rsid w:val="00371653"/>
    <w:rsid w:val="00372A4F"/>
    <w:rsid w:val="00376680"/>
    <w:rsid w:val="00377A9E"/>
    <w:rsid w:val="003842DF"/>
    <w:rsid w:val="00387C09"/>
    <w:rsid w:val="00395350"/>
    <w:rsid w:val="003A0A31"/>
    <w:rsid w:val="003A794A"/>
    <w:rsid w:val="003C0578"/>
    <w:rsid w:val="003C2E5E"/>
    <w:rsid w:val="003C4558"/>
    <w:rsid w:val="003C6067"/>
    <w:rsid w:val="003C79CB"/>
    <w:rsid w:val="003D01B4"/>
    <w:rsid w:val="003D2001"/>
    <w:rsid w:val="003D26EB"/>
    <w:rsid w:val="003E1205"/>
    <w:rsid w:val="003E6782"/>
    <w:rsid w:val="003F740F"/>
    <w:rsid w:val="00402F88"/>
    <w:rsid w:val="00406B8C"/>
    <w:rsid w:val="00410549"/>
    <w:rsid w:val="00411F2B"/>
    <w:rsid w:val="00412542"/>
    <w:rsid w:val="00426888"/>
    <w:rsid w:val="00431722"/>
    <w:rsid w:val="00443320"/>
    <w:rsid w:val="00446E4F"/>
    <w:rsid w:val="00464C4F"/>
    <w:rsid w:val="00465EDD"/>
    <w:rsid w:val="004707DE"/>
    <w:rsid w:val="0048332A"/>
    <w:rsid w:val="00487A13"/>
    <w:rsid w:val="0049484D"/>
    <w:rsid w:val="0049662C"/>
    <w:rsid w:val="00497291"/>
    <w:rsid w:val="004A299F"/>
    <w:rsid w:val="004A32C4"/>
    <w:rsid w:val="004A3491"/>
    <w:rsid w:val="004B2BF6"/>
    <w:rsid w:val="004B3BC9"/>
    <w:rsid w:val="004B4E3C"/>
    <w:rsid w:val="004C1DBA"/>
    <w:rsid w:val="004C217B"/>
    <w:rsid w:val="004C5F73"/>
    <w:rsid w:val="004D2A58"/>
    <w:rsid w:val="004D4466"/>
    <w:rsid w:val="004E4926"/>
    <w:rsid w:val="00504AE4"/>
    <w:rsid w:val="005063A5"/>
    <w:rsid w:val="00513FA0"/>
    <w:rsid w:val="00515AEC"/>
    <w:rsid w:val="005204D7"/>
    <w:rsid w:val="005317BE"/>
    <w:rsid w:val="00533F15"/>
    <w:rsid w:val="00552FDF"/>
    <w:rsid w:val="00563C06"/>
    <w:rsid w:val="00572326"/>
    <w:rsid w:val="00574414"/>
    <w:rsid w:val="005813F4"/>
    <w:rsid w:val="0058438B"/>
    <w:rsid w:val="00584482"/>
    <w:rsid w:val="00586399"/>
    <w:rsid w:val="00590904"/>
    <w:rsid w:val="00594EC1"/>
    <w:rsid w:val="00597904"/>
    <w:rsid w:val="005A26E1"/>
    <w:rsid w:val="005A4EDB"/>
    <w:rsid w:val="005A68AD"/>
    <w:rsid w:val="005B73DF"/>
    <w:rsid w:val="005C7237"/>
    <w:rsid w:val="005D2EB2"/>
    <w:rsid w:val="005D532D"/>
    <w:rsid w:val="005E0876"/>
    <w:rsid w:val="005F5A84"/>
    <w:rsid w:val="006123F8"/>
    <w:rsid w:val="00626D1B"/>
    <w:rsid w:val="00641D2E"/>
    <w:rsid w:val="00641E58"/>
    <w:rsid w:val="00643E52"/>
    <w:rsid w:val="00645656"/>
    <w:rsid w:val="00646949"/>
    <w:rsid w:val="0065299D"/>
    <w:rsid w:val="00661564"/>
    <w:rsid w:val="00662071"/>
    <w:rsid w:val="00676D81"/>
    <w:rsid w:val="006804A8"/>
    <w:rsid w:val="006815AE"/>
    <w:rsid w:val="00681F25"/>
    <w:rsid w:val="0068362E"/>
    <w:rsid w:val="00683DE6"/>
    <w:rsid w:val="00684AF7"/>
    <w:rsid w:val="006865A0"/>
    <w:rsid w:val="006A5C31"/>
    <w:rsid w:val="006B3706"/>
    <w:rsid w:val="006C0C4C"/>
    <w:rsid w:val="006E32F0"/>
    <w:rsid w:val="006E5EB7"/>
    <w:rsid w:val="006E5F6F"/>
    <w:rsid w:val="00700B13"/>
    <w:rsid w:val="00710BB6"/>
    <w:rsid w:val="00712A6D"/>
    <w:rsid w:val="007139B2"/>
    <w:rsid w:val="00714B0B"/>
    <w:rsid w:val="00720C35"/>
    <w:rsid w:val="00723EA0"/>
    <w:rsid w:val="007312D5"/>
    <w:rsid w:val="007367BD"/>
    <w:rsid w:val="00741653"/>
    <w:rsid w:val="00747516"/>
    <w:rsid w:val="00747CE0"/>
    <w:rsid w:val="00755B06"/>
    <w:rsid w:val="007634EC"/>
    <w:rsid w:val="00765592"/>
    <w:rsid w:val="007711C9"/>
    <w:rsid w:val="007939AA"/>
    <w:rsid w:val="00794A61"/>
    <w:rsid w:val="007A2071"/>
    <w:rsid w:val="007A37EA"/>
    <w:rsid w:val="007A3DC1"/>
    <w:rsid w:val="007B0BB1"/>
    <w:rsid w:val="007B40A7"/>
    <w:rsid w:val="007B52EE"/>
    <w:rsid w:val="007F7344"/>
    <w:rsid w:val="0080055A"/>
    <w:rsid w:val="008032E0"/>
    <w:rsid w:val="00805D79"/>
    <w:rsid w:val="00841E27"/>
    <w:rsid w:val="00847E2B"/>
    <w:rsid w:val="00862F43"/>
    <w:rsid w:val="00866FD9"/>
    <w:rsid w:val="008675AF"/>
    <w:rsid w:val="00870B9F"/>
    <w:rsid w:val="00873B65"/>
    <w:rsid w:val="00876504"/>
    <w:rsid w:val="008819D9"/>
    <w:rsid w:val="00896E64"/>
    <w:rsid w:val="008A7802"/>
    <w:rsid w:val="008B5AAE"/>
    <w:rsid w:val="008B6B16"/>
    <w:rsid w:val="008C3C9D"/>
    <w:rsid w:val="008C754D"/>
    <w:rsid w:val="008D375C"/>
    <w:rsid w:val="008D4397"/>
    <w:rsid w:val="008E06C2"/>
    <w:rsid w:val="008E433E"/>
    <w:rsid w:val="008F05A5"/>
    <w:rsid w:val="008F125E"/>
    <w:rsid w:val="008F5D1E"/>
    <w:rsid w:val="009108F0"/>
    <w:rsid w:val="009239D4"/>
    <w:rsid w:val="00924211"/>
    <w:rsid w:val="00936458"/>
    <w:rsid w:val="00937752"/>
    <w:rsid w:val="00942957"/>
    <w:rsid w:val="009505BB"/>
    <w:rsid w:val="00955743"/>
    <w:rsid w:val="00962500"/>
    <w:rsid w:val="00966EDF"/>
    <w:rsid w:val="00970447"/>
    <w:rsid w:val="00983E77"/>
    <w:rsid w:val="009902E1"/>
    <w:rsid w:val="0099694A"/>
    <w:rsid w:val="00997408"/>
    <w:rsid w:val="009B210D"/>
    <w:rsid w:val="009B66AB"/>
    <w:rsid w:val="009B7BB7"/>
    <w:rsid w:val="009C0993"/>
    <w:rsid w:val="009C0D85"/>
    <w:rsid w:val="009D384B"/>
    <w:rsid w:val="009D457D"/>
    <w:rsid w:val="009E0F54"/>
    <w:rsid w:val="009E1FEA"/>
    <w:rsid w:val="009E359D"/>
    <w:rsid w:val="009E3996"/>
    <w:rsid w:val="009E7FF6"/>
    <w:rsid w:val="009F1CD9"/>
    <w:rsid w:val="009F79E1"/>
    <w:rsid w:val="00A01A38"/>
    <w:rsid w:val="00A242CB"/>
    <w:rsid w:val="00A30E12"/>
    <w:rsid w:val="00A33A54"/>
    <w:rsid w:val="00A37343"/>
    <w:rsid w:val="00A3735F"/>
    <w:rsid w:val="00A43B22"/>
    <w:rsid w:val="00A51108"/>
    <w:rsid w:val="00A560C1"/>
    <w:rsid w:val="00A63CD6"/>
    <w:rsid w:val="00A750EE"/>
    <w:rsid w:val="00A8055E"/>
    <w:rsid w:val="00A87BC7"/>
    <w:rsid w:val="00AA3896"/>
    <w:rsid w:val="00AA3988"/>
    <w:rsid w:val="00AB0CAB"/>
    <w:rsid w:val="00AB4FCD"/>
    <w:rsid w:val="00AD3394"/>
    <w:rsid w:val="00AE6C19"/>
    <w:rsid w:val="00AF606F"/>
    <w:rsid w:val="00B039D9"/>
    <w:rsid w:val="00B14599"/>
    <w:rsid w:val="00B22783"/>
    <w:rsid w:val="00B232C2"/>
    <w:rsid w:val="00B33BC7"/>
    <w:rsid w:val="00B41CCB"/>
    <w:rsid w:val="00B445C4"/>
    <w:rsid w:val="00B44FC3"/>
    <w:rsid w:val="00B522A9"/>
    <w:rsid w:val="00B52847"/>
    <w:rsid w:val="00B61930"/>
    <w:rsid w:val="00B64C92"/>
    <w:rsid w:val="00B7072D"/>
    <w:rsid w:val="00B87C39"/>
    <w:rsid w:val="00B901CA"/>
    <w:rsid w:val="00B90A36"/>
    <w:rsid w:val="00B93900"/>
    <w:rsid w:val="00B96C6B"/>
    <w:rsid w:val="00BA3D83"/>
    <w:rsid w:val="00BA4CCF"/>
    <w:rsid w:val="00BB36C1"/>
    <w:rsid w:val="00BB64AF"/>
    <w:rsid w:val="00BC3EA9"/>
    <w:rsid w:val="00BD6333"/>
    <w:rsid w:val="00C004C0"/>
    <w:rsid w:val="00C14826"/>
    <w:rsid w:val="00C35ADD"/>
    <w:rsid w:val="00C45125"/>
    <w:rsid w:val="00C50BB5"/>
    <w:rsid w:val="00C5162B"/>
    <w:rsid w:val="00C61838"/>
    <w:rsid w:val="00C63281"/>
    <w:rsid w:val="00C635A9"/>
    <w:rsid w:val="00C71964"/>
    <w:rsid w:val="00C71D36"/>
    <w:rsid w:val="00C82B11"/>
    <w:rsid w:val="00C87224"/>
    <w:rsid w:val="00CA603F"/>
    <w:rsid w:val="00CC3D0F"/>
    <w:rsid w:val="00CC7534"/>
    <w:rsid w:val="00CD1A78"/>
    <w:rsid w:val="00CE1D4A"/>
    <w:rsid w:val="00CE76A7"/>
    <w:rsid w:val="00CF1DE0"/>
    <w:rsid w:val="00CF35A3"/>
    <w:rsid w:val="00CF3879"/>
    <w:rsid w:val="00CF5C5A"/>
    <w:rsid w:val="00D0022F"/>
    <w:rsid w:val="00D1146D"/>
    <w:rsid w:val="00D157B9"/>
    <w:rsid w:val="00D163D1"/>
    <w:rsid w:val="00D261EA"/>
    <w:rsid w:val="00D31507"/>
    <w:rsid w:val="00D33E57"/>
    <w:rsid w:val="00D37D39"/>
    <w:rsid w:val="00D4511E"/>
    <w:rsid w:val="00D522C0"/>
    <w:rsid w:val="00D61D34"/>
    <w:rsid w:val="00D61F16"/>
    <w:rsid w:val="00D6322D"/>
    <w:rsid w:val="00D63E68"/>
    <w:rsid w:val="00D773A7"/>
    <w:rsid w:val="00D87C46"/>
    <w:rsid w:val="00DB16BF"/>
    <w:rsid w:val="00DB2A69"/>
    <w:rsid w:val="00DC4228"/>
    <w:rsid w:val="00DC4CC2"/>
    <w:rsid w:val="00DC5EE9"/>
    <w:rsid w:val="00DD1592"/>
    <w:rsid w:val="00DD5128"/>
    <w:rsid w:val="00DE2C52"/>
    <w:rsid w:val="00E0138F"/>
    <w:rsid w:val="00E03E0A"/>
    <w:rsid w:val="00E10BE2"/>
    <w:rsid w:val="00E11E35"/>
    <w:rsid w:val="00E25BE8"/>
    <w:rsid w:val="00E44E31"/>
    <w:rsid w:val="00E5736A"/>
    <w:rsid w:val="00E65931"/>
    <w:rsid w:val="00E70EC2"/>
    <w:rsid w:val="00E9770C"/>
    <w:rsid w:val="00EA10B2"/>
    <w:rsid w:val="00EA3704"/>
    <w:rsid w:val="00EE4B7C"/>
    <w:rsid w:val="00EF4541"/>
    <w:rsid w:val="00F1573F"/>
    <w:rsid w:val="00F2383C"/>
    <w:rsid w:val="00F27850"/>
    <w:rsid w:val="00F35143"/>
    <w:rsid w:val="00F4529D"/>
    <w:rsid w:val="00F572AF"/>
    <w:rsid w:val="00F6144B"/>
    <w:rsid w:val="00F750F9"/>
    <w:rsid w:val="00F7769D"/>
    <w:rsid w:val="00F7796C"/>
    <w:rsid w:val="00FA1681"/>
    <w:rsid w:val="00FA2DB5"/>
    <w:rsid w:val="00FC3189"/>
    <w:rsid w:val="00FC7CA7"/>
    <w:rsid w:val="00FD30D6"/>
    <w:rsid w:val="00FD4D40"/>
    <w:rsid w:val="00FD717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02213-53F4-4C76-A0B9-5A5DC191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710BB6"/>
    <w:rPr>
      <w:rFonts w:ascii="Cambria" w:eastAsia="Cambr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710BB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0BB6"/>
    <w:pPr>
      <w:spacing w:line="240" w:lineRule="auto"/>
    </w:pPr>
    <w:rPr>
      <w:rFonts w:ascii="Cambria" w:eastAsia="Cambria" w:hAnsi="Cambria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710BB6"/>
    <w:rPr>
      <w:rFonts w:ascii="Cambria" w:eastAsia="Cambria" w:hAnsi="Cambria"/>
      <w:lang w:eastAsia="en-US"/>
    </w:rPr>
  </w:style>
  <w:style w:type="table" w:styleId="Tabellenraster">
    <w:name w:val="Table Grid"/>
    <w:basedOn w:val="NormaleTabelle"/>
    <w:uiPriority w:val="59"/>
    <w:rsid w:val="0071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7A1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4599"/>
    <w:rPr>
      <w:rFonts w:ascii="Arial" w:eastAsia="Times New Roman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4599"/>
    <w:rPr>
      <w:rFonts w:ascii="Arial" w:eastAsia="Cambria" w:hAnsi="Arial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459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459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1459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7B52EE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B52EE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E5736A"/>
    <w:rPr>
      <w:rFonts w:ascii="Arial" w:hAnsi="Arial"/>
      <w:sz w:val="24"/>
    </w:rPr>
  </w:style>
  <w:style w:type="paragraph" w:styleId="KeinLeerraum">
    <w:name w:val="No Spacing"/>
    <w:uiPriority w:val="1"/>
    <w:qFormat/>
    <w:rsid w:val="000055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MWi\BMWi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0EF7-CD49-4146-8779-22EF7270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BMWi0.dotm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Standardformat</vt:lpstr>
    </vt:vector>
  </TitlesOfParts>
  <Company>BMWi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</dc:title>
  <dc:creator>f</dc:creator>
  <cp:lastModifiedBy>Wolfgang Weiler</cp:lastModifiedBy>
  <cp:revision>2</cp:revision>
  <cp:lastPrinted>2020-09-15T12:28:00Z</cp:lastPrinted>
  <dcterms:created xsi:type="dcterms:W3CDTF">2020-11-13T17:20:00Z</dcterms:created>
  <dcterms:modified xsi:type="dcterms:W3CDTF">2020-11-13T17:20:00Z</dcterms:modified>
</cp:coreProperties>
</file>